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AC61B9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lang w:eastAsia="es-ES"/>
        </w:rPr>
      </w:pPr>
      <w:r w:rsidRPr="00AC61B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530894A2">
                <wp:simplePos x="0" y="0"/>
                <wp:positionH relativeFrom="margin">
                  <wp:posOffset>1853565</wp:posOffset>
                </wp:positionH>
                <wp:positionV relativeFrom="paragraph">
                  <wp:posOffset>0</wp:posOffset>
                </wp:positionV>
                <wp:extent cx="3783965" cy="1741170"/>
                <wp:effectExtent l="0" t="0" r="698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26821E5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BE5B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150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7B8F2250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5BA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 Eric Monroy Sánchez.</w:t>
                            </w:r>
                          </w:p>
                          <w:p w14:paraId="484E14A6" w14:textId="6F765CA8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</w:t>
                            </w:r>
                            <w:r w:rsidR="009173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6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 del IEE de Aguascalientes</w:t>
                            </w:r>
                            <w:r w:rsidR="008E6A8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5.95pt;margin-top:0;width:297.95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26821E5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BE5BAE">
                        <w:rPr>
                          <w:rFonts w:ascii="Arial" w:hAnsi="Arial" w:cs="Arial"/>
                          <w:sz w:val="24"/>
                          <w:szCs w:val="24"/>
                        </w:rPr>
                        <w:t>150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7B8F2250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E5BA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 Eric Monroy Sánchez.</w:t>
                      </w:r>
                    </w:p>
                    <w:p w14:paraId="484E14A6" w14:textId="6F765CA8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</w:t>
                      </w:r>
                      <w:r w:rsidR="009173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576A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 del IEE de Aguascalientes</w:t>
                      </w:r>
                      <w:r w:rsidR="008E6A8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03AEA056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D49BBD0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64A15972" w14:textId="77777777" w:rsidR="00270BFD" w:rsidRPr="00AC61B9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F5E3D13" w14:textId="77777777" w:rsidR="00270BFD" w:rsidRPr="00AC61B9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407534F8" w14:textId="77777777" w:rsidR="00AC61B9" w:rsidRDefault="00AC61B9" w:rsidP="00BE5BAE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6EE2BAEB" w14:textId="6D050614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AC61B9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AC61B9">
        <w:rPr>
          <w:rFonts w:ascii="Arial" w:eastAsia="Times New Roman" w:hAnsi="Arial" w:cs="Arial"/>
          <w:bCs/>
          <w:lang w:eastAsia="es-MX"/>
        </w:rPr>
        <w:t xml:space="preserve"> de Acuerdos, da cuenta a la Magistrada Presidenta, Claudia Eloísa Díaz de León González, con el oficio con número </w:t>
      </w:r>
      <w:r w:rsidR="001372A8" w:rsidRPr="00AC61B9">
        <w:rPr>
          <w:rFonts w:ascii="Arial" w:eastAsia="Times New Roman" w:hAnsi="Arial" w:cs="Arial"/>
          <w:bCs/>
          <w:lang w:eastAsia="es-MX"/>
        </w:rPr>
        <w:t>TEEA-OP-</w:t>
      </w:r>
      <w:r w:rsidR="00BE5BAE">
        <w:rPr>
          <w:rFonts w:ascii="Arial" w:eastAsia="Times New Roman" w:hAnsi="Arial" w:cs="Arial"/>
          <w:bCs/>
          <w:lang w:eastAsia="es-MX"/>
        </w:rPr>
        <w:t>1280</w:t>
      </w:r>
      <w:r w:rsidRPr="00AC61B9">
        <w:rPr>
          <w:rFonts w:ascii="Arial" w:eastAsia="Times New Roman" w:hAnsi="Arial" w:cs="Arial"/>
          <w:bCs/>
          <w:lang w:eastAsia="es-MX"/>
        </w:rPr>
        <w:t>/2021</w:t>
      </w:r>
      <w:r w:rsidR="001372A8" w:rsidRPr="00AC61B9">
        <w:rPr>
          <w:rFonts w:ascii="Arial" w:eastAsia="Times New Roman" w:hAnsi="Arial" w:cs="Arial"/>
          <w:bCs/>
          <w:lang w:eastAsia="es-MX"/>
        </w:rPr>
        <w:t xml:space="preserve">, de fecha </w:t>
      </w:r>
      <w:r w:rsidR="00BE5BAE">
        <w:rPr>
          <w:rFonts w:ascii="Arial" w:eastAsia="Times New Roman" w:hAnsi="Arial" w:cs="Arial"/>
          <w:bCs/>
          <w:lang w:eastAsia="es-MX"/>
        </w:rPr>
        <w:t>veintiuno de diciembre</w:t>
      </w:r>
      <w:r w:rsidRPr="00AC61B9">
        <w:rPr>
          <w:rFonts w:ascii="Arial" w:eastAsia="Times New Roman" w:hAnsi="Arial" w:cs="Arial"/>
          <w:bCs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BC7644" w:rsidRPr="00AC61B9" w14:paraId="398890A8" w14:textId="77777777" w:rsidTr="008E6A85">
        <w:tc>
          <w:tcPr>
            <w:tcW w:w="4390" w:type="dxa"/>
          </w:tcPr>
          <w:p w14:paraId="0B29B8CB" w14:textId="77777777" w:rsidR="00BC7644" w:rsidRPr="00AC61B9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C61B9">
              <w:rPr>
                <w:rFonts w:ascii="Arial" w:eastAsia="Times New Roman" w:hAnsi="Arial" w:cs="Arial"/>
                <w:b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5AA2FB1E" w14:textId="77777777" w:rsidR="00BC7644" w:rsidRPr="00AC61B9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C61B9">
              <w:rPr>
                <w:rFonts w:ascii="Arial" w:eastAsia="Times New Roman" w:hAnsi="Arial" w:cs="Arial"/>
                <w:b/>
                <w:lang w:eastAsia="es-MX"/>
              </w:rPr>
              <w:t>Acto impugnado</w:t>
            </w:r>
          </w:p>
        </w:tc>
      </w:tr>
      <w:tr w:rsidR="00BC7644" w:rsidRPr="00AC61B9" w14:paraId="6523D26B" w14:textId="77777777" w:rsidTr="008E6A85">
        <w:tc>
          <w:tcPr>
            <w:tcW w:w="4390" w:type="dxa"/>
          </w:tcPr>
          <w:p w14:paraId="47223FF1" w14:textId="5D67EBE1" w:rsidR="00BC7644" w:rsidRPr="00AC61B9" w:rsidRDefault="003302AC" w:rsidP="001372A8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C61B9">
              <w:rPr>
                <w:rFonts w:ascii="Arial" w:eastAsia="Times New Roman" w:hAnsi="Arial" w:cs="Arial"/>
                <w:lang w:eastAsia="es-MX"/>
              </w:rPr>
              <w:t xml:space="preserve">Escrito que contiene un juicio de la ciudadanía, </w:t>
            </w:r>
            <w:r w:rsidR="00750844" w:rsidRPr="00AC61B9">
              <w:rPr>
                <w:rFonts w:ascii="Arial" w:eastAsia="Times New Roman" w:hAnsi="Arial" w:cs="Arial"/>
                <w:lang w:eastAsia="es-MX"/>
              </w:rPr>
              <w:t>suscrito por</w:t>
            </w:r>
            <w:r w:rsidR="00BE5BAE">
              <w:rPr>
                <w:rFonts w:ascii="Arial" w:eastAsia="Times New Roman" w:hAnsi="Arial" w:cs="Arial"/>
                <w:lang w:eastAsia="es-MX"/>
              </w:rPr>
              <w:t xml:space="preserve"> el</w:t>
            </w:r>
            <w:r w:rsidR="00750844" w:rsidRPr="00AC61B9">
              <w:rPr>
                <w:rFonts w:ascii="Arial" w:eastAsia="Times New Roman" w:hAnsi="Arial" w:cs="Arial"/>
                <w:lang w:eastAsia="es-MX"/>
              </w:rPr>
              <w:t xml:space="preserve"> promovente al rubro indicado, presentado directamente ante esta autoridad. </w:t>
            </w:r>
          </w:p>
        </w:tc>
        <w:tc>
          <w:tcPr>
            <w:tcW w:w="4438" w:type="dxa"/>
          </w:tcPr>
          <w:p w14:paraId="07FBE243" w14:textId="66CB467E" w:rsidR="00BC7644" w:rsidRPr="00AC61B9" w:rsidRDefault="00BE5BAE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R</w:t>
            </w:r>
            <w:r w:rsidRPr="00BE5BAE">
              <w:rPr>
                <w:rFonts w:ascii="Arial" w:eastAsia="Times New Roman" w:hAnsi="Arial" w:cs="Arial"/>
                <w:bCs/>
                <w:lang w:eastAsia="es-MX"/>
              </w:rPr>
              <w:t>esolución identificada con la clave CG-R-87/21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,</w:t>
            </w:r>
            <w:r w:rsidRPr="00BE5BAE">
              <w:rPr>
                <w:rFonts w:ascii="Arial" w:eastAsia="Times New Roman" w:hAnsi="Arial" w:cs="Arial"/>
                <w:bCs/>
                <w:lang w:eastAsia="es-MX"/>
              </w:rPr>
              <w:t xml:space="preserve"> aprobada en fecha quince de diciembre del año en curso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,</w:t>
            </w:r>
            <w:r w:rsidRPr="00BE5BAE">
              <w:rPr>
                <w:rFonts w:ascii="Arial" w:eastAsia="Times New Roman" w:hAnsi="Arial" w:cs="Arial"/>
                <w:bCs/>
                <w:lang w:eastAsia="es-MX"/>
              </w:rPr>
              <w:t xml:space="preserve"> por el Consejo General del IEE.</w:t>
            </w:r>
          </w:p>
        </w:tc>
      </w:tr>
    </w:tbl>
    <w:p w14:paraId="36A1C52B" w14:textId="77777777" w:rsidR="00270BFD" w:rsidRPr="00AC61B9" w:rsidRDefault="00270BFD" w:rsidP="00270BFD">
      <w:pPr>
        <w:pStyle w:val="Sinespaciado"/>
        <w:rPr>
          <w:lang w:eastAsia="es-MX"/>
        </w:rPr>
      </w:pPr>
    </w:p>
    <w:p w14:paraId="1887F07D" w14:textId="77777777" w:rsidR="008E6A85" w:rsidRPr="00AC61B9" w:rsidRDefault="008E6A85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</w:p>
    <w:p w14:paraId="4B6F84D8" w14:textId="51D64333" w:rsidR="00BC7644" w:rsidRPr="00AC61B9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Aguascalientes, Aguascalientes, a </w:t>
      </w:r>
      <w:r w:rsidR="00BE5BAE" w:rsidRPr="00BE5BAE">
        <w:rPr>
          <w:rFonts w:ascii="Arial" w:eastAsia="Times New Roman" w:hAnsi="Arial" w:cs="Arial"/>
          <w:b/>
          <w:bCs/>
          <w:lang w:eastAsia="es-MX"/>
        </w:rPr>
        <w:t xml:space="preserve">veintiuno de diciembre </w:t>
      </w:r>
      <w:r w:rsidRPr="00AC61B9">
        <w:rPr>
          <w:rFonts w:ascii="Arial" w:eastAsia="Times New Roman" w:hAnsi="Arial" w:cs="Arial"/>
          <w:b/>
          <w:bCs/>
          <w:lang w:eastAsia="es-MX"/>
        </w:rPr>
        <w:t xml:space="preserve">de dos mil veintiuno. </w:t>
      </w:r>
    </w:p>
    <w:p w14:paraId="10482C16" w14:textId="0C6D66D3" w:rsidR="00BC7644" w:rsidRPr="00AC61B9" w:rsidRDefault="00BC7644" w:rsidP="00BC7644">
      <w:pPr>
        <w:spacing w:line="360" w:lineRule="auto"/>
        <w:ind w:firstLine="708"/>
        <w:jc w:val="both"/>
        <w:rPr>
          <w:rFonts w:ascii="Arial" w:hAnsi="Arial" w:cs="Arial"/>
        </w:rPr>
      </w:pPr>
      <w:r w:rsidRPr="00AC61B9">
        <w:rPr>
          <w:rFonts w:ascii="Arial" w:hAnsi="Arial" w:cs="Arial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70770089" w:rsidR="00BC7644" w:rsidRPr="00AC61B9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PRIMERO. Integración de expediente. </w:t>
      </w:r>
      <w:r w:rsidRPr="00AC61B9">
        <w:rPr>
          <w:rFonts w:ascii="Arial" w:eastAsia="Times New Roman" w:hAnsi="Arial" w:cs="Arial"/>
          <w:lang w:eastAsia="es-MX"/>
        </w:rPr>
        <w:t xml:space="preserve">Con el escrito de cuenta y sus anexos, se ordena integrar el expediente respectivo y registrarlo en el libro de gobierno con la clave </w:t>
      </w:r>
      <w:r w:rsidRPr="00AC61B9">
        <w:rPr>
          <w:rFonts w:ascii="Arial" w:eastAsia="Times New Roman" w:hAnsi="Arial" w:cs="Arial"/>
          <w:b/>
          <w:bCs/>
          <w:lang w:eastAsia="es-MX"/>
        </w:rPr>
        <w:t>TEEA-JDC-</w:t>
      </w:r>
      <w:r w:rsidR="008D0202" w:rsidRPr="00AC61B9">
        <w:rPr>
          <w:rFonts w:ascii="Arial" w:eastAsia="Times New Roman" w:hAnsi="Arial" w:cs="Arial"/>
          <w:b/>
          <w:bCs/>
          <w:lang w:eastAsia="es-MX"/>
        </w:rPr>
        <w:t>1</w:t>
      </w:r>
      <w:r w:rsidR="00BE5BAE">
        <w:rPr>
          <w:rFonts w:ascii="Arial" w:eastAsia="Times New Roman" w:hAnsi="Arial" w:cs="Arial"/>
          <w:b/>
          <w:bCs/>
          <w:lang w:eastAsia="es-MX"/>
        </w:rPr>
        <w:t>50</w:t>
      </w:r>
      <w:r w:rsidRPr="00AC61B9">
        <w:rPr>
          <w:rFonts w:ascii="Arial" w:eastAsia="Times New Roman" w:hAnsi="Arial" w:cs="Arial"/>
          <w:b/>
          <w:bCs/>
          <w:lang w:eastAsia="es-MX"/>
        </w:rPr>
        <w:t>/2021.</w:t>
      </w:r>
    </w:p>
    <w:p w14:paraId="26E89DF7" w14:textId="3897D629" w:rsidR="00BE5BAE" w:rsidRDefault="002576A4" w:rsidP="00BE5BAE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</w:t>
      </w:r>
      <w:r w:rsidR="00BE5B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BE5BAE"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túrnese los a</w:t>
      </w:r>
      <w:r w:rsidR="00BE5BAE"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bookmarkStart w:id="2" w:name="_Hlk55567895"/>
      <w:r w:rsidR="00BE5BA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 suscrita </w:t>
      </w:r>
      <w:r w:rsidR="00BE5BAE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BE5B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 </w:t>
      </w:r>
      <w:proofErr w:type="gramStart"/>
      <w:r w:rsidR="00BE5B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Presidenta</w:t>
      </w:r>
      <w:bookmarkEnd w:id="2"/>
      <w:proofErr w:type="gramEnd"/>
      <w:r w:rsidR="00BE5B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Claudia Díaz de León González.</w:t>
      </w:r>
    </w:p>
    <w:p w14:paraId="4558FAC7" w14:textId="4500C527" w:rsidR="002576A4" w:rsidRDefault="002576A4" w:rsidP="002576A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1996C61" w14:textId="77777777" w:rsidR="002576A4" w:rsidRDefault="002576A4" w:rsidP="002576A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311 y 312, del Código Electoral de esta entidad, así como lo establecido en el artículo 104, del Reglamento Interior de este Tribunal, remítase de inmediato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 la autoridad señala como responsable con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>copia certificada del escrito que contiene el medio de impugnación, recibido por Oficialía de Partes de este Tribunal, para que, a partir de que le sea notificado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>el presente proveído, de inmediato d</w:t>
      </w:r>
      <w:r>
        <w:rPr>
          <w:rFonts w:ascii="Arial" w:eastAsia="Times New Roman" w:hAnsi="Arial" w:cs="Arial"/>
          <w:sz w:val="24"/>
          <w:szCs w:val="24"/>
          <w:lang w:eastAsia="es-MX"/>
        </w:rPr>
        <w:t>é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el trámite correspondiente a la demanda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5DF6EAC" w14:textId="77777777" w:rsidR="002576A4" w:rsidRPr="0091732A" w:rsidRDefault="002576A4" w:rsidP="002576A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CUARTO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Apercibimiento.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Se apercibe a la autoridad señalada como responsable para que, en el caso que no d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é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cumplimiento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inmediato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al requerimiento en los términos señalados, se le aplicará alguna de las medidas de apremio a que se refiere el artículo 328 del Código Electoral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Estado.  </w:t>
      </w:r>
    </w:p>
    <w:p w14:paraId="396BE089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NOTIFÍQUESE. </w:t>
      </w:r>
    </w:p>
    <w:p w14:paraId="4436356C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AC61B9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AC61B9">
        <w:rPr>
          <w:rFonts w:ascii="Arial" w:eastAsia="Times New Roman" w:hAnsi="Arial" w:cs="Arial"/>
          <w:bCs/>
          <w:lang w:eastAsia="es-MX"/>
        </w:rPr>
        <w:t xml:space="preserve"> de este Tribunal Electoral, Claudia Eloisa Díaz de León González, ante el Secretario General de Acuerdos, que autoriza y da fe.</w:t>
      </w:r>
    </w:p>
    <w:p w14:paraId="62DC09FC" w14:textId="77777777" w:rsidR="00BC7644" w:rsidRPr="00AC61B9" w:rsidRDefault="00BC7644" w:rsidP="00BC7644">
      <w:pPr>
        <w:spacing w:after="0" w:line="360" w:lineRule="auto"/>
        <w:rPr>
          <w:rFonts w:ascii="Arial" w:eastAsia="Times New Roman" w:hAnsi="Arial" w:cs="Arial"/>
          <w:bCs/>
          <w:lang w:eastAsia="es-MX"/>
        </w:rPr>
      </w:pPr>
    </w:p>
    <w:p w14:paraId="2E7802C2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4D0E89C4" w14:textId="7BA52E68" w:rsidR="00BC7644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lang w:eastAsia="es-ES"/>
        </w:rPr>
      </w:pPr>
    </w:p>
    <w:p w14:paraId="0AF23DA3" w14:textId="77777777" w:rsidR="008D3272" w:rsidRPr="00AC61B9" w:rsidRDefault="008D3272" w:rsidP="00BC7644">
      <w:pPr>
        <w:spacing w:after="0" w:line="360" w:lineRule="auto"/>
        <w:rPr>
          <w:rFonts w:ascii="Arial" w:eastAsia="Times New Roman" w:hAnsi="Arial" w:cs="Arial"/>
          <w:bCs/>
          <w:kern w:val="16"/>
          <w:lang w:eastAsia="es-ES"/>
        </w:rPr>
      </w:pPr>
    </w:p>
    <w:p w14:paraId="41C8145F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1B74263E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1EBD6A3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1CA2755A" w14:textId="3C765AEC" w:rsidR="00BC7644" w:rsidRPr="00AC61B9" w:rsidRDefault="00BC7644" w:rsidP="0091732A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1F7CB465" w14:textId="0A335D0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F847B9B" w14:textId="77777777" w:rsidR="008D3272" w:rsidRPr="00AC61B9" w:rsidRDefault="008D3272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F392194" w14:textId="3EF351A0" w:rsidR="002046AC" w:rsidRPr="00AC61B9" w:rsidRDefault="00BC7644" w:rsidP="0091732A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 xml:space="preserve">      Jesús Ociel Baena Saucedo</w:t>
      </w:r>
    </w:p>
    <w:sectPr w:rsidR="002046AC" w:rsidRPr="00AC61B9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8D3272">
    <w:pPr>
      <w:pStyle w:val="Piedepgina"/>
      <w:jc w:val="right"/>
    </w:pPr>
  </w:p>
  <w:p w14:paraId="6F882EB5" w14:textId="77777777" w:rsidR="00F71849" w:rsidRDefault="008D32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8D327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8D327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4ABBC2F2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 w:rsidR="00D2605C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8D3272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8D3272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8D3272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8D3272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576A4"/>
    <w:rsid w:val="00270BFD"/>
    <w:rsid w:val="0027209C"/>
    <w:rsid w:val="002A3B51"/>
    <w:rsid w:val="002E5AEC"/>
    <w:rsid w:val="003213D2"/>
    <w:rsid w:val="003302AC"/>
    <w:rsid w:val="003A1D5F"/>
    <w:rsid w:val="003F5D93"/>
    <w:rsid w:val="00417A26"/>
    <w:rsid w:val="00563127"/>
    <w:rsid w:val="005731FC"/>
    <w:rsid w:val="005A2705"/>
    <w:rsid w:val="005F4ADF"/>
    <w:rsid w:val="006C1917"/>
    <w:rsid w:val="00750844"/>
    <w:rsid w:val="00774A0D"/>
    <w:rsid w:val="008A7BD1"/>
    <w:rsid w:val="008D0202"/>
    <w:rsid w:val="008D1D68"/>
    <w:rsid w:val="008D3272"/>
    <w:rsid w:val="008E6A85"/>
    <w:rsid w:val="0091732A"/>
    <w:rsid w:val="009174F9"/>
    <w:rsid w:val="00937A8F"/>
    <w:rsid w:val="0096277D"/>
    <w:rsid w:val="00A070CA"/>
    <w:rsid w:val="00A16373"/>
    <w:rsid w:val="00A515EA"/>
    <w:rsid w:val="00A56431"/>
    <w:rsid w:val="00AC61B9"/>
    <w:rsid w:val="00AD399C"/>
    <w:rsid w:val="00BC7644"/>
    <w:rsid w:val="00BE066B"/>
    <w:rsid w:val="00BE5BAE"/>
    <w:rsid w:val="00D2605C"/>
    <w:rsid w:val="00D45568"/>
    <w:rsid w:val="00E72D51"/>
    <w:rsid w:val="00E977CE"/>
    <w:rsid w:val="00ED6020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9</cp:revision>
  <cp:lastPrinted>2021-06-15T20:41:00Z</cp:lastPrinted>
  <dcterms:created xsi:type="dcterms:W3CDTF">2021-05-21T17:50:00Z</dcterms:created>
  <dcterms:modified xsi:type="dcterms:W3CDTF">2021-12-21T22:08:00Z</dcterms:modified>
</cp:coreProperties>
</file>